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96653" w14:textId="77777777" w:rsidR="00967F3C" w:rsidRDefault="00967F3C" w:rsidP="00746C4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</w:p>
    <w:p w14:paraId="11A14FF6" w14:textId="34F47E4E" w:rsidR="00746C4C" w:rsidRPr="00D35199" w:rsidRDefault="00D35199" w:rsidP="00746C4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  <w:r w:rsidRPr="00D35199">
        <w:rPr>
          <w:rFonts w:ascii="Times New Roman" w:hAnsi="Times New Roman" w:cs="Times New Roman"/>
          <w:color w:val="auto"/>
          <w:sz w:val="24"/>
          <w:lang w:val="sq-AL" w:bidi="en-GB"/>
        </w:rPr>
        <w:t>RAPORT</w:t>
      </w:r>
    </w:p>
    <w:p w14:paraId="4D8B244A" w14:textId="6B9C3439" w:rsidR="00746C4C" w:rsidRPr="00D35199" w:rsidRDefault="00D35199" w:rsidP="00746C4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  <w:r w:rsidRPr="00D35199">
        <w:rPr>
          <w:rFonts w:ascii="Times New Roman" w:hAnsi="Times New Roman" w:cs="Times New Roman"/>
          <w:color w:val="auto"/>
          <w:sz w:val="24"/>
          <w:lang w:val="sq-AL" w:bidi="en-GB"/>
        </w:rPr>
        <w:t>PËR REZULTATET E KONSULTIMIT PUBLIK T</w:t>
      </w:r>
      <w:r w:rsidR="00D160BA">
        <w:rPr>
          <w:rFonts w:ascii="Times New Roman" w:hAnsi="Times New Roman" w:cs="Times New Roman"/>
          <w:color w:val="auto"/>
          <w:sz w:val="24"/>
          <w:lang w:val="sq-AL" w:bidi="en-GB"/>
        </w:rPr>
        <w:t>Ë</w:t>
      </w:r>
      <w:r w:rsidRPr="00D35199">
        <w:rPr>
          <w:rFonts w:ascii="Times New Roman" w:hAnsi="Times New Roman" w:cs="Times New Roman"/>
          <w:color w:val="auto"/>
          <w:sz w:val="24"/>
          <w:lang w:val="sq-AL" w:bidi="en-GB"/>
        </w:rPr>
        <w:t xml:space="preserve"> </w:t>
      </w:r>
      <w:r w:rsidRPr="00D35199">
        <w:rPr>
          <w:rFonts w:ascii="Times New Roman" w:hAnsi="Times New Roman"/>
          <w:color w:val="auto"/>
          <w:sz w:val="24"/>
          <w:lang w:val="sq-AL"/>
        </w:rPr>
        <w:t>PROJEKTLIGJIT</w:t>
      </w:r>
    </w:p>
    <w:p w14:paraId="03D83146" w14:textId="2BB431B2" w:rsidR="00C7773E" w:rsidRPr="00D35199" w:rsidRDefault="00D35199" w:rsidP="00746C4C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  <w:r w:rsidRPr="00D35199">
        <w:rPr>
          <w:rFonts w:ascii="Times New Roman" w:hAnsi="Times New Roman"/>
          <w:color w:val="auto"/>
          <w:sz w:val="24"/>
          <w:lang w:val="sq-AL"/>
        </w:rPr>
        <w:t>"PËR REZERVAT MATERIALE TË SHTETIT".</w:t>
      </w:r>
    </w:p>
    <w:p w14:paraId="17E7046D" w14:textId="77777777" w:rsidR="00C7773E" w:rsidRPr="000E6C95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5F49014F" w14:textId="71573599" w:rsidR="00175EA0" w:rsidRPr="00746C4C" w:rsidRDefault="00155341" w:rsidP="00746C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="00D35199">
        <w:rPr>
          <w:rFonts w:ascii="Times New Roman" w:hAnsi="Times New Roman"/>
          <w:b/>
          <w:bCs/>
          <w:sz w:val="24"/>
          <w:szCs w:val="24"/>
          <w:lang w:val="sq-AL"/>
        </w:rPr>
        <w:t>projektakt</w:t>
      </w:r>
      <w:r w:rsidR="00746C4C">
        <w:rPr>
          <w:rFonts w:ascii="Times New Roman" w:hAnsi="Times New Roman"/>
          <w:b/>
          <w:bCs/>
          <w:sz w:val="24"/>
          <w:szCs w:val="24"/>
          <w:lang w:val="sq-AL"/>
        </w:rPr>
        <w:t>i</w:t>
      </w:r>
      <w:r w:rsidR="00D35199">
        <w:rPr>
          <w:rFonts w:ascii="Times New Roman" w:hAnsi="Times New Roman"/>
          <w:b/>
          <w:bCs/>
          <w:sz w:val="24"/>
          <w:szCs w:val="24"/>
          <w:lang w:val="sq-AL"/>
        </w:rPr>
        <w:t>t</w:t>
      </w:r>
      <w:proofErr w:type="spellEnd"/>
      <w:r w:rsidR="00746C4C">
        <w:rPr>
          <w:rFonts w:ascii="Times New Roman" w:hAnsi="Times New Roman"/>
          <w:b/>
          <w:bCs/>
          <w:sz w:val="24"/>
          <w:szCs w:val="24"/>
          <w:lang w:val="sq-AL"/>
        </w:rPr>
        <w:t xml:space="preserve">: </w:t>
      </w:r>
      <w:r w:rsidR="00175EA0" w:rsidRPr="00746C4C">
        <w:rPr>
          <w:rFonts w:ascii="Times New Roman" w:hAnsi="Times New Roman"/>
          <w:sz w:val="24"/>
          <w:szCs w:val="24"/>
          <w:lang w:val="sq-AL"/>
        </w:rPr>
        <w:t>Projektligj "Për rezervat materiale të shtetit".</w:t>
      </w:r>
    </w:p>
    <w:p w14:paraId="3EE41A92" w14:textId="3A63F770" w:rsidR="00746C4C" w:rsidRDefault="00746C4C" w:rsidP="00B7598B">
      <w:pPr>
        <w:pStyle w:val="BodyTex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 xml:space="preserve">Referenca tek Programi i Përgjithshëm Analitik i </w:t>
      </w:r>
      <w:proofErr w:type="spellStart"/>
      <w:r w:rsidRPr="00746C4C">
        <w:rPr>
          <w:rFonts w:ascii="Times New Roman" w:hAnsi="Times New Roman"/>
          <w:sz w:val="24"/>
          <w:szCs w:val="24"/>
          <w:lang w:val="sq-AL"/>
        </w:rPr>
        <w:t>Projektakteve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351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 vitin 2021: </w:t>
      </w:r>
      <w:r w:rsidRPr="00D35199">
        <w:rPr>
          <w:rFonts w:ascii="Times New Roman" w:hAnsi="Times New Roman"/>
          <w:sz w:val="24"/>
          <w:szCs w:val="24"/>
          <w:u w:val="single"/>
          <w:lang w:val="sq-AL"/>
        </w:rPr>
        <w:t>nr.1</w:t>
      </w:r>
    </w:p>
    <w:p w14:paraId="7F6BEFDB" w14:textId="4898236C" w:rsidR="00746C4C" w:rsidRDefault="00746C4C" w:rsidP="00B7598B">
      <w:pPr>
        <w:pStyle w:val="BodyTex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>Referenca tek</w:t>
      </w:r>
      <w:r w:rsidRPr="00746C4C"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Plani</w:t>
      </w:r>
      <w:r w:rsidRPr="00746C4C">
        <w:rPr>
          <w:rFonts w:ascii="Times New Roman" w:hAnsi="Times New Roman"/>
          <w:sz w:val="24"/>
          <w:szCs w:val="24"/>
          <w:lang w:val="sq-AL"/>
        </w:rPr>
        <w:t xml:space="preserve"> Vjetor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46C4C">
        <w:rPr>
          <w:rFonts w:ascii="Times New Roman" w:hAnsi="Times New Roman"/>
          <w:sz w:val="24"/>
          <w:szCs w:val="24"/>
          <w:lang w:val="sq-AL"/>
        </w:rPr>
        <w:t xml:space="preserve"> Konsultimit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351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 vitin 2021: </w:t>
      </w:r>
      <w:r w:rsidRPr="00D35199">
        <w:rPr>
          <w:rFonts w:ascii="Times New Roman" w:hAnsi="Times New Roman"/>
          <w:sz w:val="24"/>
          <w:szCs w:val="24"/>
          <w:u w:val="single"/>
          <w:lang w:val="sq-AL"/>
        </w:rPr>
        <w:t>nr.1</w:t>
      </w:r>
    </w:p>
    <w:p w14:paraId="360EB794" w14:textId="5389FDBB" w:rsidR="00746C4C" w:rsidRPr="008E043E" w:rsidRDefault="00746C4C" w:rsidP="00B7598B">
      <w:pPr>
        <w:pStyle w:val="BodyTex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>Referenca tek</w:t>
      </w:r>
      <w:r w:rsidRPr="00746C4C">
        <w:t xml:space="preserve"> </w:t>
      </w:r>
      <w:r w:rsidR="00B7598B">
        <w:rPr>
          <w:rFonts w:ascii="Times New Roman" w:hAnsi="Times New Roman"/>
          <w:sz w:val="24"/>
          <w:szCs w:val="24"/>
          <w:lang w:val="sq-AL"/>
        </w:rPr>
        <w:t>Vlerësimi i</w:t>
      </w:r>
      <w:r w:rsidRPr="00746C4C">
        <w:rPr>
          <w:rFonts w:ascii="Times New Roman" w:hAnsi="Times New Roman"/>
          <w:sz w:val="24"/>
          <w:szCs w:val="24"/>
          <w:lang w:val="sq-AL"/>
        </w:rPr>
        <w:t xml:space="preserve"> Ndikimit Rregullator (VNR)</w:t>
      </w:r>
      <w:r w:rsidR="00B7598B">
        <w:rPr>
          <w:rFonts w:ascii="Times New Roman" w:hAnsi="Times New Roman"/>
          <w:sz w:val="24"/>
          <w:szCs w:val="24"/>
          <w:lang w:val="sq-AL"/>
        </w:rPr>
        <w:t xml:space="preserve">: </w:t>
      </w:r>
      <w:r w:rsidR="001243C2">
        <w:rPr>
          <w:rFonts w:ascii="Times New Roman" w:hAnsi="Times New Roman"/>
          <w:sz w:val="24"/>
          <w:szCs w:val="24"/>
          <w:u w:val="single"/>
          <w:lang w:val="sq-AL"/>
        </w:rPr>
        <w:t>2021 – MM</w:t>
      </w:r>
      <w:r w:rsidR="00B7598B" w:rsidRPr="00D35199">
        <w:rPr>
          <w:rFonts w:ascii="Times New Roman" w:hAnsi="Times New Roman"/>
          <w:sz w:val="24"/>
          <w:szCs w:val="24"/>
          <w:u w:val="single"/>
          <w:lang w:val="sq-AL"/>
        </w:rPr>
        <w:t xml:space="preserve"> –  Nr. 2</w:t>
      </w:r>
    </w:p>
    <w:p w14:paraId="090DC0BA" w14:textId="4AE0B174" w:rsidR="008E043E" w:rsidRPr="008E043E" w:rsidRDefault="008E043E" w:rsidP="002A5E71">
      <w:pPr>
        <w:pStyle w:val="BodyTex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Referenca tek </w:t>
      </w:r>
      <w:r w:rsidR="002A5E71">
        <w:rPr>
          <w:rFonts w:ascii="Times New Roman" w:hAnsi="Times New Roman"/>
          <w:sz w:val="24"/>
          <w:szCs w:val="24"/>
          <w:lang w:val="sq-AL"/>
        </w:rPr>
        <w:t>Plani</w:t>
      </w:r>
      <w:r w:rsidR="002A5E71" w:rsidRPr="002A5E71">
        <w:rPr>
          <w:rFonts w:ascii="Times New Roman" w:hAnsi="Times New Roman"/>
          <w:sz w:val="24"/>
          <w:szCs w:val="24"/>
          <w:lang w:val="sq-AL"/>
        </w:rPr>
        <w:t xml:space="preserve"> Kombëtar për Integrimin Evropian</w:t>
      </w:r>
      <w:r>
        <w:rPr>
          <w:rFonts w:ascii="Times New Roman" w:hAnsi="Times New Roman"/>
          <w:sz w:val="24"/>
          <w:szCs w:val="24"/>
          <w:lang w:val="sq-AL"/>
        </w:rPr>
        <w:t xml:space="preserve">: </w:t>
      </w:r>
      <w:r w:rsidRPr="008E043E">
        <w:rPr>
          <w:rFonts w:ascii="Times New Roman" w:hAnsi="Times New Roman"/>
          <w:sz w:val="24"/>
          <w:szCs w:val="24"/>
          <w:u w:val="single"/>
          <w:lang w:val="sq-AL"/>
        </w:rPr>
        <w:t>n/a</w:t>
      </w:r>
    </w:p>
    <w:p w14:paraId="06E3B382" w14:textId="77777777" w:rsidR="00B7598B" w:rsidRPr="00175EA0" w:rsidRDefault="00B7598B" w:rsidP="00B7598B">
      <w:pPr>
        <w:pStyle w:val="BodyText"/>
        <w:spacing w:after="0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15AC2C85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34B2C7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B96111" w14:textId="77777777" w:rsidR="00221040" w:rsidRPr="000E6C95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5BB2235" w14:textId="05A0F3C2" w:rsidR="00C7773E" w:rsidRDefault="00221040" w:rsidP="00175EA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6.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3</w:t>
      </w:r>
      <w:r w:rsidR="00984BFB" w:rsidRPr="000E6C95">
        <w:rPr>
          <w:rFonts w:ascii="Times New Roman" w:hAnsi="Times New Roman"/>
          <w:iCs/>
          <w:sz w:val="24"/>
          <w:szCs w:val="24"/>
          <w:lang w:val="sq-AL"/>
        </w:rPr>
        <w:t>.20</w:t>
      </w:r>
      <w:r w:rsidR="00210CF6" w:rsidRPr="000E6C95">
        <w:rPr>
          <w:rFonts w:ascii="Times New Roman" w:hAnsi="Times New Roman"/>
          <w:iCs/>
          <w:sz w:val="24"/>
          <w:szCs w:val="24"/>
          <w:lang w:val="sq-AL"/>
        </w:rPr>
        <w:t>20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 xml:space="preserve">,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me 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zhvillimin e takimit me grupet e interesit (operator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ekonomik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q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hyjn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marr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dh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nie tregtare me Drejtorin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e P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rgjit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h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shme t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Rezervave Materiale t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Shtetit) dhe ka vijuar me publikimin e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draftit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RENJK dhe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 faq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en zyrtare 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Ministris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s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Mbrojtje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>s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, m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24.2.202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1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Konsultimi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publik 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>planifikuar t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EA0">
        <w:rPr>
          <w:rFonts w:ascii="Times New Roman" w:hAnsi="Times New Roman"/>
          <w:iCs/>
          <w:sz w:val="24"/>
          <w:szCs w:val="24"/>
          <w:lang w:val="sq-AL"/>
        </w:rPr>
        <w:t xml:space="preserve"> mbyllet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</w:t>
      </w:r>
      <w:r w:rsidR="003C2D46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F96140">
        <w:rPr>
          <w:rFonts w:ascii="Times New Roman" w:hAnsi="Times New Roman"/>
          <w:iCs/>
          <w:sz w:val="24"/>
          <w:szCs w:val="24"/>
          <w:lang w:val="sq-AL"/>
        </w:rPr>
        <w:t>30.06.2021.</w:t>
      </w:r>
    </w:p>
    <w:p w14:paraId="6CEC1FE2" w14:textId="77777777" w:rsidR="00CD3FB0" w:rsidRPr="000E6C95" w:rsidRDefault="00CD3FB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71C21A6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43A157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1C64BBF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1EDBBCF0" w14:textId="77777777" w:rsidR="00221040" w:rsidRPr="000E6C95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11EB796" w14:textId="1CC436E3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BA1E468" w14:textId="0E0F2AEF" w:rsidR="00AD49F8" w:rsidRPr="000E6C95" w:rsidRDefault="008F7BD8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RENJK</w:t>
      </w:r>
      <w:r w:rsidR="00912E59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912E59" w:rsidRPr="00912E59">
        <w:t xml:space="preserve"> </w:t>
      </w:r>
      <w:hyperlink r:id="rId10" w:history="1">
        <w:r w:rsidR="00912E59" w:rsidRPr="007B397C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https://www.konsultimipublik.gov.al/Konsultime/Detaje/326</w:t>
        </w:r>
      </w:hyperlink>
      <w:r w:rsidR="00912E59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tej.</w:t>
      </w:r>
      <w:r w:rsidR="00912E59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275AEBE" w14:textId="3E274071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0E6C95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0E6C95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hyperlink r:id="rId11" w:history="1">
        <w:r w:rsidRPr="000E6C95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konsultim.publik@mod.gov.al</w:t>
        </w:r>
      </w:hyperlink>
      <w:r w:rsidR="002E4815" w:rsidRPr="000E6C95">
        <w:rPr>
          <w:rFonts w:ascii="Times New Roman" w:hAnsi="Times New Roman"/>
          <w:sz w:val="24"/>
          <w:szCs w:val="24"/>
          <w:lang w:val="sq-AL"/>
        </w:rPr>
        <w:t>:</w:t>
      </w:r>
    </w:p>
    <w:p w14:paraId="7838F87D" w14:textId="069362EE" w:rsidR="00AD49F8" w:rsidRPr="000E6C95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0E6C95">
        <w:rPr>
          <w:rFonts w:ascii="Times New Roman" w:hAnsi="Times New Roman"/>
          <w:sz w:val="24"/>
          <w:szCs w:val="24"/>
          <w:lang w:val="sq-AL"/>
        </w:rPr>
        <w:t>e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0E6C95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02DFFE7B" w14:textId="1B23CBFF" w:rsidR="002E4815" w:rsidRPr="000E6C95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”, Tiranë”</w:t>
      </w:r>
      <w:r w:rsidR="002E4815" w:rsidRPr="000E6C95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2F548C52" w14:textId="0AC2AD51" w:rsidR="00C7773E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05220337" w14:textId="63D34D9D" w:rsidR="00F96140" w:rsidRPr="00F96140" w:rsidRDefault="00F96140" w:rsidP="00F96140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96140">
        <w:rPr>
          <w:rFonts w:ascii="Times New Roman" w:hAnsi="Times New Roman"/>
          <w:b/>
          <w:sz w:val="24"/>
          <w:szCs w:val="24"/>
          <w:lang w:val="sq-AL"/>
        </w:rPr>
        <w:t>Drejtp</w:t>
      </w:r>
      <w:r w:rsidR="003C2D4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96140">
        <w:rPr>
          <w:rFonts w:ascii="Times New Roman" w:hAnsi="Times New Roman"/>
          <w:b/>
          <w:sz w:val="24"/>
          <w:szCs w:val="24"/>
          <w:lang w:val="sq-AL"/>
        </w:rPr>
        <w:t>rdrejt</w:t>
      </w:r>
      <w:r w:rsidR="003C2D4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96140">
        <w:rPr>
          <w:rFonts w:ascii="Times New Roman" w:hAnsi="Times New Roman"/>
          <w:b/>
          <w:sz w:val="24"/>
          <w:szCs w:val="24"/>
          <w:lang w:val="sq-AL"/>
        </w:rPr>
        <w:t>, n</w:t>
      </w:r>
      <w:r w:rsidR="003C2D4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96140">
        <w:rPr>
          <w:rFonts w:ascii="Times New Roman" w:hAnsi="Times New Roman"/>
          <w:b/>
          <w:sz w:val="24"/>
          <w:szCs w:val="24"/>
          <w:lang w:val="sq-AL"/>
        </w:rPr>
        <w:t>p</w:t>
      </w:r>
      <w:r w:rsidR="003C2D4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96140">
        <w:rPr>
          <w:rFonts w:ascii="Times New Roman" w:hAnsi="Times New Roman"/>
          <w:b/>
          <w:sz w:val="24"/>
          <w:szCs w:val="24"/>
          <w:lang w:val="sq-AL"/>
        </w:rPr>
        <w:t>rmjet zhvillimit t</w:t>
      </w:r>
      <w:r w:rsidR="003C2D4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F96140">
        <w:rPr>
          <w:rFonts w:ascii="Times New Roman" w:hAnsi="Times New Roman"/>
          <w:b/>
          <w:sz w:val="24"/>
          <w:szCs w:val="24"/>
          <w:lang w:val="sq-AL"/>
        </w:rPr>
        <w:t xml:space="preserve"> takimit:</w:t>
      </w:r>
    </w:p>
    <w:p w14:paraId="17F0C4EE" w14:textId="04CD164C" w:rsidR="00F96140" w:rsidRPr="000E6C95" w:rsidRDefault="008A4516" w:rsidP="00F96140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Grupi i punës, i ngritur me urdhër të ministrit të Mbrojtjes</w:t>
      </w:r>
      <w:r w:rsidR="00D160BA">
        <w:rPr>
          <w:rFonts w:ascii="Times New Roman" w:hAnsi="Times New Roman"/>
          <w:sz w:val="24"/>
          <w:szCs w:val="24"/>
          <w:lang w:val="sq-AL"/>
        </w:rPr>
        <w:t>, n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rrug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elektronike m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F71" w:rsidRPr="00C27F71">
        <w:rPr>
          <w:rFonts w:ascii="Times New Roman" w:hAnsi="Times New Roman"/>
          <w:sz w:val="24"/>
          <w:szCs w:val="24"/>
          <w:lang w:val="sq-AL"/>
        </w:rPr>
        <w:t>05.03</w:t>
      </w:r>
      <w:r w:rsidR="00D160BA" w:rsidRPr="00C27F71">
        <w:rPr>
          <w:rFonts w:ascii="Times New Roman" w:hAnsi="Times New Roman"/>
          <w:sz w:val="24"/>
          <w:szCs w:val="24"/>
          <w:lang w:val="sq-AL"/>
        </w:rPr>
        <w:t>.2020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ftoi përfaqësues të </w:t>
      </w:r>
      <w:r>
        <w:rPr>
          <w:rFonts w:ascii="Times New Roman" w:hAnsi="Times New Roman"/>
          <w:sz w:val="24"/>
          <w:szCs w:val="24"/>
          <w:lang w:val="sq-AL"/>
        </w:rPr>
        <w:t>Prefek</w:t>
      </w:r>
      <w:r w:rsidR="00E24303">
        <w:rPr>
          <w:rFonts w:ascii="Times New Roman" w:hAnsi="Times New Roman"/>
          <w:sz w:val="24"/>
          <w:szCs w:val="24"/>
          <w:lang w:val="sq-AL"/>
        </w:rPr>
        <w:t>tur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="00E24303">
        <w:rPr>
          <w:rFonts w:ascii="Times New Roman" w:hAnsi="Times New Roman"/>
          <w:sz w:val="24"/>
          <w:szCs w:val="24"/>
          <w:lang w:val="sq-AL"/>
        </w:rPr>
        <w:t>s s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="00E24303">
        <w:rPr>
          <w:rFonts w:ascii="Times New Roman" w:hAnsi="Times New Roman"/>
          <w:sz w:val="24"/>
          <w:szCs w:val="24"/>
          <w:lang w:val="sq-AL"/>
        </w:rPr>
        <w:t xml:space="preserve"> Tiran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="00E24303">
        <w:rPr>
          <w:rFonts w:ascii="Times New Roman" w:hAnsi="Times New Roman"/>
          <w:sz w:val="24"/>
          <w:szCs w:val="24"/>
          <w:lang w:val="sq-AL"/>
        </w:rPr>
        <w:t>s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="00E24303">
        <w:rPr>
          <w:rFonts w:ascii="Times New Roman" w:hAnsi="Times New Roman"/>
          <w:sz w:val="24"/>
          <w:szCs w:val="24"/>
          <w:lang w:val="sq-AL"/>
        </w:rPr>
        <w:t xml:space="preserve"> Shoqat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="00E24303">
        <w:rPr>
          <w:rFonts w:ascii="Times New Roman" w:hAnsi="Times New Roman"/>
          <w:sz w:val="24"/>
          <w:szCs w:val="24"/>
          <w:lang w:val="sq-AL"/>
        </w:rPr>
        <w:t>s p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="00E24303">
        <w:rPr>
          <w:rFonts w:ascii="Times New Roman" w:hAnsi="Times New Roman"/>
          <w:sz w:val="24"/>
          <w:szCs w:val="24"/>
          <w:lang w:val="sq-AL"/>
        </w:rPr>
        <w:t>r Autonomin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="00E24303">
        <w:rPr>
          <w:rFonts w:ascii="Times New Roman" w:hAnsi="Times New Roman"/>
          <w:sz w:val="24"/>
          <w:szCs w:val="24"/>
          <w:lang w:val="sq-AL"/>
        </w:rPr>
        <w:t xml:space="preserve"> Vendore</w:t>
      </w:r>
      <w:r>
        <w:rPr>
          <w:rFonts w:ascii="Times New Roman" w:hAnsi="Times New Roman"/>
          <w:sz w:val="24"/>
          <w:szCs w:val="24"/>
          <w:lang w:val="sq-AL"/>
        </w:rPr>
        <w:t xml:space="preserve"> dhe disa operator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ekonomik</w:t>
      </w:r>
      <w:r w:rsidR="003C2D46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, për të marrë pjesë në </w:t>
      </w:r>
      <w:r w:rsidR="00D160BA">
        <w:rPr>
          <w:rFonts w:ascii="Times New Roman" w:hAnsi="Times New Roman"/>
          <w:sz w:val="24"/>
          <w:szCs w:val="24"/>
          <w:lang w:val="sq-AL"/>
        </w:rPr>
        <w:t>nj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takim me grupin e pun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s. Takimi </w:t>
      </w:r>
      <w:r w:rsidR="00D160BA">
        <w:rPr>
          <w:rFonts w:ascii="Times New Roman" w:hAnsi="Times New Roman"/>
          <w:sz w:val="24"/>
          <w:szCs w:val="24"/>
          <w:lang w:val="sq-AL"/>
        </w:rPr>
        <w:lastRenderedPageBreak/>
        <w:t>u zhvillua m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7F71" w:rsidRPr="00C27F71">
        <w:rPr>
          <w:rFonts w:ascii="Times New Roman" w:hAnsi="Times New Roman"/>
          <w:sz w:val="24"/>
          <w:szCs w:val="24"/>
          <w:lang w:val="sq-AL"/>
        </w:rPr>
        <w:t>0</w:t>
      </w:r>
      <w:r w:rsidR="00C27F71">
        <w:rPr>
          <w:rFonts w:ascii="Times New Roman" w:hAnsi="Times New Roman"/>
          <w:sz w:val="24"/>
          <w:szCs w:val="24"/>
          <w:lang w:val="sq-AL"/>
        </w:rPr>
        <w:t>6</w:t>
      </w:r>
      <w:r w:rsidR="00C27F71" w:rsidRPr="00C27F71">
        <w:rPr>
          <w:rFonts w:ascii="Times New Roman" w:hAnsi="Times New Roman"/>
          <w:sz w:val="24"/>
          <w:szCs w:val="24"/>
          <w:lang w:val="sq-AL"/>
        </w:rPr>
        <w:t>.03.2020</w:t>
      </w:r>
      <w:r w:rsidR="00D160BA">
        <w:rPr>
          <w:rFonts w:ascii="Times New Roman" w:hAnsi="Times New Roman"/>
          <w:sz w:val="24"/>
          <w:szCs w:val="24"/>
          <w:lang w:val="sq-AL"/>
        </w:rPr>
        <w:t>, n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drejtimin e Drejtorit t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Drejtoris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rgjithshme </w:t>
      </w:r>
      <w:proofErr w:type="spellStart"/>
      <w:r w:rsidR="00D160BA">
        <w:rPr>
          <w:rFonts w:ascii="Times New Roman" w:hAnsi="Times New Roman"/>
          <w:sz w:val="24"/>
          <w:szCs w:val="24"/>
          <w:lang w:val="sq-AL"/>
        </w:rPr>
        <w:t>Rregullatore</w:t>
      </w:r>
      <w:proofErr w:type="spellEnd"/>
      <w:r w:rsidR="00D160BA">
        <w:rPr>
          <w:rFonts w:ascii="Times New Roman" w:hAnsi="Times New Roman"/>
          <w:sz w:val="24"/>
          <w:szCs w:val="24"/>
          <w:lang w:val="sq-AL"/>
        </w:rPr>
        <w:t xml:space="preserve"> dhe e P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>rputhshm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>ris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>, n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pranin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e grupit t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>s dhe operator</w:t>
      </w:r>
      <w:r w:rsidR="00CF73B2">
        <w:rPr>
          <w:rFonts w:ascii="Times New Roman" w:hAnsi="Times New Roman"/>
          <w:sz w:val="24"/>
          <w:szCs w:val="24"/>
          <w:lang w:val="sq-AL"/>
        </w:rPr>
        <w:t>ë</w:t>
      </w:r>
      <w:r w:rsidR="00D160BA">
        <w:rPr>
          <w:rFonts w:ascii="Times New Roman" w:hAnsi="Times New Roman"/>
          <w:sz w:val="24"/>
          <w:szCs w:val="24"/>
          <w:lang w:val="sq-AL"/>
        </w:rPr>
        <w:t>ve ekonomik</w:t>
      </w:r>
      <w:r w:rsidR="00CF73B2">
        <w:rPr>
          <w:rFonts w:ascii="Times New Roman" w:hAnsi="Times New Roman"/>
          <w:sz w:val="24"/>
          <w:szCs w:val="24"/>
          <w:lang w:val="sq-AL"/>
        </w:rPr>
        <w:t xml:space="preserve">ë të ftuar. Gjatë takimit </w:t>
      </w:r>
      <w:r w:rsidRPr="003A19ED">
        <w:rPr>
          <w:rFonts w:ascii="Times New Roman" w:hAnsi="Times New Roman"/>
          <w:sz w:val="24"/>
          <w:szCs w:val="24"/>
          <w:lang w:val="sq-AL"/>
        </w:rPr>
        <w:t>u mbajtën shënim</w:t>
      </w:r>
      <w:r w:rsidR="00CF73B2">
        <w:rPr>
          <w:rFonts w:ascii="Times New Roman" w:hAnsi="Times New Roman"/>
          <w:sz w:val="24"/>
          <w:szCs w:val="24"/>
          <w:lang w:val="sq-AL"/>
        </w:rPr>
        <w:t>e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nga sekretari teknik dhe pasi </w:t>
      </w:r>
      <w:r w:rsidR="00CF73B2">
        <w:rPr>
          <w:rFonts w:ascii="Times New Roman" w:hAnsi="Times New Roman"/>
          <w:sz w:val="24"/>
          <w:szCs w:val="24"/>
          <w:lang w:val="sq-AL"/>
        </w:rPr>
        <w:t xml:space="preserve">komentet </w:t>
      </w:r>
      <w:r w:rsidRPr="003A19ED">
        <w:rPr>
          <w:rFonts w:ascii="Times New Roman" w:hAnsi="Times New Roman"/>
          <w:sz w:val="24"/>
          <w:szCs w:val="24"/>
          <w:lang w:val="sq-AL"/>
        </w:rPr>
        <w:t>u vlerësuan nga GP, u vendos nëse do të përfshiheshin ose jo në përmbajtjen e projektligjit.</w:t>
      </w:r>
    </w:p>
    <w:p w14:paraId="5997E687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373B77D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1220A41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19B3A634" w14:textId="77777777" w:rsidR="00175D65" w:rsidRPr="000E6C95" w:rsidRDefault="00175D65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ED701A3" w14:textId="3311D712" w:rsidR="00315A5E" w:rsidRPr="000E6C95" w:rsidRDefault="00315A5E" w:rsidP="00B81CA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Pal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 e interesuar</w:t>
      </w:r>
      <w:r w:rsidR="00AF5AB1">
        <w:rPr>
          <w:rFonts w:ascii="Times New Roman" w:hAnsi="Times New Roman"/>
          <w:iCs/>
          <w:sz w:val="24"/>
          <w:szCs w:val="24"/>
          <w:lang w:val="sq-AL"/>
        </w:rPr>
        <w:t xml:space="preserve">a,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cilat mor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n pjes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hartimin e 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t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ij </w:t>
      </w:r>
      <w:proofErr w:type="spellStart"/>
      <w:r w:rsidRPr="000E6C95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jan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4ACB22F3" w14:textId="77777777" w:rsidR="00E24303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43C2">
        <w:rPr>
          <w:rFonts w:ascii="Times New Roman" w:hAnsi="Times New Roman"/>
          <w:b/>
          <w:sz w:val="24"/>
          <w:szCs w:val="24"/>
          <w:lang w:val="sq-AL"/>
        </w:rPr>
        <w:t>Ministria e Mbrojtjes,</w:t>
      </w:r>
    </w:p>
    <w:p w14:paraId="03078C50" w14:textId="4145E9D8" w:rsidR="00B81CA0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43C2">
        <w:rPr>
          <w:rFonts w:ascii="Times New Roman" w:hAnsi="Times New Roman"/>
          <w:b/>
          <w:sz w:val="24"/>
          <w:szCs w:val="24"/>
          <w:lang w:val="sq-AL"/>
        </w:rPr>
        <w:t>Drejtoria e P</w:t>
      </w:r>
      <w:r w:rsidR="000E1FF4" w:rsidRPr="001243C2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243C2">
        <w:rPr>
          <w:rFonts w:ascii="Times New Roman" w:hAnsi="Times New Roman"/>
          <w:b/>
          <w:sz w:val="24"/>
          <w:szCs w:val="24"/>
          <w:lang w:val="sq-AL"/>
        </w:rPr>
        <w:t>rgjithshme e Rezervave Materiale t</w:t>
      </w:r>
      <w:r w:rsidR="000E1FF4" w:rsidRPr="001243C2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243C2">
        <w:rPr>
          <w:rFonts w:ascii="Times New Roman" w:hAnsi="Times New Roman"/>
          <w:b/>
          <w:sz w:val="24"/>
          <w:szCs w:val="24"/>
          <w:lang w:val="sq-AL"/>
        </w:rPr>
        <w:t xml:space="preserve"> Shtetit;</w:t>
      </w:r>
    </w:p>
    <w:p w14:paraId="64E49D41" w14:textId="654EAAE7" w:rsidR="00E24303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43C2">
        <w:rPr>
          <w:rFonts w:ascii="Times New Roman" w:hAnsi="Times New Roman"/>
          <w:b/>
          <w:sz w:val="24"/>
          <w:szCs w:val="24"/>
          <w:lang w:val="sq-AL"/>
        </w:rPr>
        <w:t>Agjencia Komb</w:t>
      </w:r>
      <w:r w:rsidR="000E1FF4" w:rsidRPr="001243C2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243C2">
        <w:rPr>
          <w:rFonts w:ascii="Times New Roman" w:hAnsi="Times New Roman"/>
          <w:b/>
          <w:sz w:val="24"/>
          <w:szCs w:val="24"/>
          <w:lang w:val="sq-AL"/>
        </w:rPr>
        <w:t>tare e Mbrojtjes Civile;</w:t>
      </w:r>
    </w:p>
    <w:p w14:paraId="1297CEC9" w14:textId="6E61EC89" w:rsidR="00E24303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243C2">
        <w:rPr>
          <w:rFonts w:ascii="Times New Roman" w:hAnsi="Times New Roman"/>
          <w:b/>
          <w:sz w:val="24"/>
          <w:szCs w:val="24"/>
          <w:lang w:val="sq-AL"/>
        </w:rPr>
        <w:t>Shoqata p</w:t>
      </w:r>
      <w:r w:rsidR="000E1FF4" w:rsidRPr="001243C2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243C2">
        <w:rPr>
          <w:rFonts w:ascii="Times New Roman" w:hAnsi="Times New Roman"/>
          <w:b/>
          <w:sz w:val="24"/>
          <w:szCs w:val="24"/>
          <w:lang w:val="sq-AL"/>
        </w:rPr>
        <w:t>r Autonomin</w:t>
      </w:r>
      <w:r w:rsidR="000E1FF4" w:rsidRPr="001243C2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1243C2">
        <w:rPr>
          <w:rFonts w:ascii="Times New Roman" w:hAnsi="Times New Roman"/>
          <w:b/>
          <w:sz w:val="24"/>
          <w:szCs w:val="24"/>
          <w:lang w:val="sq-AL"/>
        </w:rPr>
        <w:t xml:space="preserve"> Vendore;</w:t>
      </w:r>
    </w:p>
    <w:p w14:paraId="2689E15F" w14:textId="65017844" w:rsidR="00E24303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1243C2">
        <w:rPr>
          <w:rFonts w:ascii="Times New Roman" w:hAnsi="Times New Roman"/>
          <w:b/>
          <w:sz w:val="24"/>
          <w:szCs w:val="24"/>
          <w:lang w:val="sq-AL"/>
        </w:rPr>
        <w:t>Shaga</w:t>
      </w:r>
      <w:proofErr w:type="spellEnd"/>
      <w:r w:rsidRPr="001243C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proofErr w:type="spellStart"/>
      <w:r w:rsidRPr="001243C2">
        <w:rPr>
          <w:rFonts w:ascii="Times New Roman" w:hAnsi="Times New Roman"/>
          <w:b/>
          <w:sz w:val="24"/>
          <w:szCs w:val="24"/>
          <w:lang w:val="sq-AL"/>
        </w:rPr>
        <w:t>sh.p.k</w:t>
      </w:r>
      <w:proofErr w:type="spellEnd"/>
      <w:r w:rsidRPr="001243C2">
        <w:rPr>
          <w:rFonts w:ascii="Times New Roman" w:hAnsi="Times New Roman"/>
          <w:b/>
          <w:sz w:val="24"/>
          <w:szCs w:val="24"/>
          <w:lang w:val="sq-AL"/>
        </w:rPr>
        <w:t>;</w:t>
      </w:r>
    </w:p>
    <w:p w14:paraId="6EE86898" w14:textId="01438542" w:rsidR="00E24303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1243C2">
        <w:rPr>
          <w:rFonts w:ascii="Times New Roman" w:hAnsi="Times New Roman"/>
          <w:b/>
          <w:sz w:val="24"/>
          <w:szCs w:val="24"/>
          <w:lang w:val="sq-AL"/>
        </w:rPr>
        <w:t>Erdis</w:t>
      </w:r>
      <w:proofErr w:type="spellEnd"/>
      <w:r w:rsidRPr="001243C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proofErr w:type="spellStart"/>
      <w:r w:rsidRPr="001243C2">
        <w:rPr>
          <w:rFonts w:ascii="Times New Roman" w:hAnsi="Times New Roman"/>
          <w:b/>
          <w:sz w:val="24"/>
          <w:szCs w:val="24"/>
          <w:lang w:val="sq-AL"/>
        </w:rPr>
        <w:t>sh.p.k</w:t>
      </w:r>
      <w:proofErr w:type="spellEnd"/>
      <w:r w:rsidRPr="001243C2">
        <w:rPr>
          <w:rFonts w:ascii="Times New Roman" w:hAnsi="Times New Roman"/>
          <w:b/>
          <w:sz w:val="24"/>
          <w:szCs w:val="24"/>
          <w:lang w:val="sq-AL"/>
        </w:rPr>
        <w:t>;</w:t>
      </w:r>
      <w:bookmarkStart w:id="0" w:name="_GoBack"/>
      <w:bookmarkEnd w:id="0"/>
    </w:p>
    <w:p w14:paraId="046FBC06" w14:textId="2EB56DD6" w:rsidR="00E24303" w:rsidRPr="001243C2" w:rsidRDefault="00E24303" w:rsidP="00E24303">
      <w:pPr>
        <w:pStyle w:val="ListParagraph"/>
        <w:numPr>
          <w:ilvl w:val="0"/>
          <w:numId w:val="5"/>
        </w:numPr>
        <w:tabs>
          <w:tab w:val="left" w:pos="7552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1243C2">
        <w:rPr>
          <w:rFonts w:ascii="Times New Roman" w:hAnsi="Times New Roman"/>
          <w:b/>
          <w:sz w:val="24"/>
          <w:szCs w:val="24"/>
          <w:lang w:val="sq-AL"/>
        </w:rPr>
        <w:t>Kalia</w:t>
      </w:r>
      <w:proofErr w:type="spellEnd"/>
      <w:r w:rsidRPr="001243C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proofErr w:type="spellStart"/>
      <w:r w:rsidRPr="001243C2">
        <w:rPr>
          <w:rFonts w:ascii="Times New Roman" w:hAnsi="Times New Roman"/>
          <w:b/>
          <w:sz w:val="24"/>
          <w:szCs w:val="24"/>
          <w:lang w:val="sq-AL"/>
        </w:rPr>
        <w:t>sh.p.k</w:t>
      </w:r>
      <w:proofErr w:type="spellEnd"/>
      <w:r w:rsidRPr="001243C2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0BF51BFB" w14:textId="77777777" w:rsidR="00E24303" w:rsidRPr="00E24303" w:rsidRDefault="00E24303" w:rsidP="00E24303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C91AE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87DA301" w14:textId="5122396D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0E6C95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6E336FB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5C0F7F4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021D93DA" w14:textId="77777777" w:rsidR="00175D65" w:rsidRPr="00E81988" w:rsidRDefault="00175D65" w:rsidP="00C7773E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14:paraId="43BDBD47" w14:textId="5E992C26" w:rsidR="00175D65" w:rsidRPr="000E6C95" w:rsidRDefault="00175D65" w:rsidP="00BD0400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N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tabel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 e m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poshtme paraqiten komentet e</w:t>
      </w:r>
      <w:r w:rsidR="00850B66">
        <w:rPr>
          <w:rFonts w:ascii="Times New Roman" w:hAnsi="Times New Roman"/>
          <w:sz w:val="24"/>
          <w:szCs w:val="24"/>
          <w:lang w:val="sq-AL"/>
        </w:rPr>
        <w:t xml:space="preserve"> pal</w:t>
      </w:r>
      <w:r w:rsidR="00BD0400">
        <w:rPr>
          <w:rFonts w:ascii="Times New Roman" w:hAnsi="Times New Roman"/>
          <w:sz w:val="24"/>
          <w:szCs w:val="24"/>
          <w:lang w:val="sq-AL"/>
        </w:rPr>
        <w:t>ë</w:t>
      </w:r>
      <w:r w:rsidR="00850B66">
        <w:rPr>
          <w:rFonts w:ascii="Times New Roman" w:hAnsi="Times New Roman"/>
          <w:sz w:val="24"/>
          <w:szCs w:val="24"/>
          <w:lang w:val="sq-AL"/>
        </w:rPr>
        <w:t>ve t</w:t>
      </w:r>
      <w:r w:rsidR="00BD0400">
        <w:rPr>
          <w:rFonts w:ascii="Times New Roman" w:hAnsi="Times New Roman"/>
          <w:sz w:val="24"/>
          <w:szCs w:val="24"/>
          <w:lang w:val="sq-AL"/>
        </w:rPr>
        <w:t>ë</w:t>
      </w:r>
      <w:r w:rsidR="00850B6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D0400">
        <w:rPr>
          <w:rFonts w:ascii="Times New Roman" w:hAnsi="Times New Roman"/>
          <w:sz w:val="24"/>
          <w:szCs w:val="24"/>
          <w:lang w:val="sq-AL"/>
        </w:rPr>
        <w:t>ë</w:t>
      </w:r>
      <w:r w:rsidR="00850B66">
        <w:rPr>
          <w:rFonts w:ascii="Times New Roman" w:hAnsi="Times New Roman"/>
          <w:sz w:val="24"/>
          <w:szCs w:val="24"/>
          <w:lang w:val="sq-AL"/>
        </w:rPr>
        <w:t>rfshira n</w:t>
      </w:r>
      <w:r w:rsidR="00BD0400">
        <w:rPr>
          <w:rFonts w:ascii="Times New Roman" w:hAnsi="Times New Roman"/>
          <w:sz w:val="24"/>
          <w:szCs w:val="24"/>
          <w:lang w:val="sq-AL"/>
        </w:rPr>
        <w:t>ë</w:t>
      </w:r>
      <w:r w:rsidR="00850B66">
        <w:rPr>
          <w:rFonts w:ascii="Times New Roman" w:hAnsi="Times New Roman"/>
          <w:sz w:val="24"/>
          <w:szCs w:val="24"/>
          <w:lang w:val="sq-AL"/>
        </w:rPr>
        <w:t xml:space="preserve"> konsultimin publik mbi k</w:t>
      </w:r>
      <w:r w:rsidR="00BD0400">
        <w:rPr>
          <w:rFonts w:ascii="Times New Roman" w:hAnsi="Times New Roman"/>
          <w:sz w:val="24"/>
          <w:szCs w:val="24"/>
          <w:lang w:val="sq-AL"/>
        </w:rPr>
        <w:t>ë</w:t>
      </w:r>
      <w:r w:rsidR="00850B66">
        <w:rPr>
          <w:rFonts w:ascii="Times New Roman" w:hAnsi="Times New Roman"/>
          <w:sz w:val="24"/>
          <w:szCs w:val="24"/>
          <w:lang w:val="sq-AL"/>
        </w:rPr>
        <w:t>t</w:t>
      </w:r>
      <w:r w:rsidR="00BD0400">
        <w:rPr>
          <w:rFonts w:ascii="Times New Roman" w:hAnsi="Times New Roman"/>
          <w:sz w:val="24"/>
          <w:szCs w:val="24"/>
          <w:lang w:val="sq-AL"/>
        </w:rPr>
        <w:t>ë</w:t>
      </w:r>
      <w:r w:rsidR="00850B66">
        <w:rPr>
          <w:rFonts w:ascii="Times New Roman" w:hAnsi="Times New Roman"/>
          <w:sz w:val="24"/>
          <w:szCs w:val="24"/>
          <w:lang w:val="sq-AL"/>
        </w:rPr>
        <w:t xml:space="preserve"> projektligj. Konkretisht</w:t>
      </w:r>
      <w:r w:rsidR="00892064">
        <w:rPr>
          <w:rFonts w:ascii="Times New Roman" w:hAnsi="Times New Roman"/>
          <w:sz w:val="24"/>
          <w:szCs w:val="24"/>
          <w:lang w:val="sq-AL"/>
        </w:rPr>
        <w:t>,</w:t>
      </w:r>
      <w:r w:rsidR="00850B66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850B66" w:rsidRPr="00D103E7">
        <w:rPr>
          <w:rFonts w:ascii="Times New Roman" w:hAnsi="Times New Roman"/>
          <w:sz w:val="24"/>
          <w:szCs w:val="24"/>
          <w:u w:val="single"/>
          <w:lang w:val="sq-AL"/>
        </w:rPr>
        <w:t>komente t</w:t>
      </w:r>
      <w:r w:rsidR="00BD0400" w:rsidRPr="00D103E7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="00850B66" w:rsidRPr="00D103E7">
        <w:rPr>
          <w:rFonts w:ascii="Times New Roman" w:hAnsi="Times New Roman"/>
          <w:sz w:val="24"/>
          <w:szCs w:val="24"/>
          <w:u w:val="single"/>
          <w:lang w:val="sq-AL"/>
        </w:rPr>
        <w:t xml:space="preserve"> pranuar</w:t>
      </w:r>
      <w:r w:rsidR="00BD0400" w:rsidRPr="00D103E7">
        <w:rPr>
          <w:rFonts w:ascii="Times New Roman" w:hAnsi="Times New Roman"/>
          <w:sz w:val="24"/>
          <w:szCs w:val="24"/>
          <w:u w:val="single"/>
          <w:lang w:val="sq-AL"/>
        </w:rPr>
        <w:t>a</w:t>
      </w:r>
      <w:r w:rsidR="00850B66" w:rsidRPr="00D103E7">
        <w:rPr>
          <w:rFonts w:ascii="Times New Roman" w:hAnsi="Times New Roman"/>
          <w:sz w:val="24"/>
          <w:szCs w:val="24"/>
          <w:u w:val="single"/>
          <w:lang w:val="sq-AL"/>
        </w:rPr>
        <w:t xml:space="preserve"> plotësisht: 1</w:t>
      </w:r>
      <w:r w:rsidR="00850B66">
        <w:rPr>
          <w:rFonts w:ascii="Times New Roman" w:hAnsi="Times New Roman"/>
          <w:sz w:val="24"/>
          <w:szCs w:val="24"/>
          <w:lang w:val="sq-AL"/>
        </w:rPr>
        <w:t xml:space="preserve">; </w:t>
      </w:r>
      <w:r w:rsidR="00850B66" w:rsidRPr="00D103E7">
        <w:rPr>
          <w:rFonts w:ascii="Times New Roman" w:hAnsi="Times New Roman"/>
          <w:sz w:val="24"/>
          <w:szCs w:val="24"/>
          <w:u w:val="single"/>
          <w:lang w:val="sq-AL"/>
        </w:rPr>
        <w:t>komente t</w:t>
      </w:r>
      <w:r w:rsidR="00BD0400" w:rsidRPr="00D103E7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D103E7">
        <w:rPr>
          <w:rFonts w:ascii="Times New Roman" w:hAnsi="Times New Roman"/>
          <w:sz w:val="24"/>
          <w:szCs w:val="24"/>
          <w:u w:val="single"/>
          <w:lang w:val="sq-AL"/>
        </w:rPr>
        <w:t xml:space="preserve"> pranuara pjes</w:t>
      </w:r>
      <w:r w:rsidR="003F0926" w:rsidRPr="00D103E7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="00315A5E" w:rsidRPr="00D103E7">
        <w:rPr>
          <w:rFonts w:ascii="Times New Roman" w:hAnsi="Times New Roman"/>
          <w:sz w:val="24"/>
          <w:szCs w:val="24"/>
          <w:u w:val="single"/>
          <w:lang w:val="sq-AL"/>
        </w:rPr>
        <w:t>rish</w:t>
      </w:r>
      <w:r w:rsidR="00BD0400" w:rsidRPr="00D103E7">
        <w:rPr>
          <w:rFonts w:ascii="Times New Roman" w:hAnsi="Times New Roman"/>
          <w:sz w:val="24"/>
          <w:szCs w:val="24"/>
          <w:u w:val="single"/>
          <w:lang w:val="sq-AL"/>
        </w:rPr>
        <w:t>t: 0</w:t>
      </w:r>
      <w:r w:rsidR="00BD0400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BD0400" w:rsidRPr="00D103E7">
        <w:rPr>
          <w:rFonts w:ascii="Times New Roman" w:hAnsi="Times New Roman"/>
          <w:sz w:val="24"/>
          <w:szCs w:val="24"/>
          <w:u w:val="single"/>
          <w:lang w:val="sq-AL"/>
        </w:rPr>
        <w:t>komente të refuzuara: 0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D0400">
        <w:rPr>
          <w:rFonts w:ascii="Times New Roman" w:hAnsi="Times New Roman"/>
          <w:sz w:val="24"/>
          <w:szCs w:val="24"/>
          <w:lang w:val="sq-AL"/>
        </w:rPr>
        <w:t>si më poshtë</w:t>
      </w:r>
      <w:r w:rsidR="00315A5E" w:rsidRPr="000E6C95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82"/>
        <w:gridCol w:w="2250"/>
        <w:gridCol w:w="1283"/>
        <w:gridCol w:w="1980"/>
      </w:tblGrid>
      <w:tr w:rsidR="000E6C95" w:rsidRPr="000E6C95" w14:paraId="6596004C" w14:textId="77777777" w:rsidTr="00BD04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07A7C61F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psh</w:t>
            </w:r>
            <w:proofErr w:type="spellEnd"/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1FE9D5C1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550D17B8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Vendimi (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pranuar/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 pjesërisht/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refuzuar)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9867FF" w:rsidRPr="000E6C95" w14:paraId="3629BEF2" w14:textId="77777777" w:rsidTr="00BD04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9E2" w14:textId="5196D4DE" w:rsidR="00270CB2" w:rsidRPr="000E6C95" w:rsidRDefault="000E1FF4" w:rsidP="00270CB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Detyrimi i operatorëve ekonomikë për të hyrë në marrëdhënie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kontraktore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DPRMSH.</w:t>
            </w:r>
          </w:p>
          <w:p w14:paraId="1B369A28" w14:textId="441085A3" w:rsidR="00D3328A" w:rsidRPr="000E6C95" w:rsidRDefault="00D3328A" w:rsidP="003172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D3C" w14:textId="235F65C3" w:rsidR="00D3328A" w:rsidRDefault="000E1FF4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-Prodhimi </w:t>
            </w:r>
            <w:r w:rsidR="003C2D4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mallrave apo ofrimi i shërbimeve të bëhet përkundrejt pagesës.</w:t>
            </w:r>
          </w:p>
          <w:p w14:paraId="18C4B937" w14:textId="1DCFA3C3" w:rsidR="000E1FF4" w:rsidRPr="000E6C95" w:rsidRDefault="000E1FF4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kjo e drejtë të mos i njihet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institucionit në çdo rast por vetëm në situata të tilla që diktojnë nevojën për të ndërhyrë në lirinë e veprimtarisë ek</w:t>
            </w:r>
            <w:r w:rsidR="003C2D46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nomike të subjekteve.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535" w14:textId="77777777" w:rsidR="000E1FF4" w:rsidRDefault="000E1FF4" w:rsidP="000E1FF4">
            <w:pPr>
              <w:pStyle w:val="ListParagraph"/>
              <w:numPr>
                <w:ilvl w:val="0"/>
                <w:numId w:val="5"/>
              </w:numPr>
              <w:tabs>
                <w:tab w:val="left" w:pos="75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Shaga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0A92A86" w14:textId="77777777" w:rsidR="000E1FF4" w:rsidRDefault="000E1FF4" w:rsidP="000E1FF4">
            <w:pPr>
              <w:pStyle w:val="ListParagraph"/>
              <w:numPr>
                <w:ilvl w:val="0"/>
                <w:numId w:val="5"/>
              </w:numPr>
              <w:tabs>
                <w:tab w:val="left" w:pos="75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Erdis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E02394D" w14:textId="0B03CA81" w:rsidR="00270CB2" w:rsidRPr="000E6C95" w:rsidRDefault="00270CB2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7A6" w14:textId="403FC082" w:rsidR="00D3328A" w:rsidRPr="000E6C95" w:rsidRDefault="000E1FF4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733" w14:textId="62C3E276" w:rsidR="0031728D" w:rsidRPr="000E6C95" w:rsidRDefault="000E1FF4" w:rsidP="00FA03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Propozimet e operatorëve u vlerësuan si të drejta dhe u pranuan nga ana e grupit të punës.</w:t>
            </w:r>
          </w:p>
        </w:tc>
      </w:tr>
    </w:tbl>
    <w:p w14:paraId="466A4DC9" w14:textId="4A7DBA17" w:rsidR="00C7773E" w:rsidRDefault="00C7773E">
      <w:pPr>
        <w:rPr>
          <w:rFonts w:ascii="Times New Roman" w:hAnsi="Times New Roman"/>
          <w:sz w:val="24"/>
          <w:szCs w:val="24"/>
          <w:lang w:val="sq-AL"/>
        </w:rPr>
      </w:pPr>
    </w:p>
    <w:p w14:paraId="06ACE09C" w14:textId="77777777" w:rsidR="00D160BA" w:rsidRDefault="00D160BA">
      <w:pPr>
        <w:rPr>
          <w:rFonts w:ascii="Times New Roman" w:hAnsi="Times New Roman"/>
          <w:sz w:val="24"/>
          <w:szCs w:val="24"/>
          <w:lang w:val="sq-AL"/>
        </w:rPr>
      </w:pPr>
    </w:p>
    <w:p w14:paraId="31316CA8" w14:textId="77777777" w:rsidR="00D160BA" w:rsidRDefault="00D160BA">
      <w:pPr>
        <w:rPr>
          <w:rFonts w:ascii="Times New Roman" w:hAnsi="Times New Roman"/>
          <w:sz w:val="24"/>
          <w:szCs w:val="24"/>
          <w:lang w:val="sq-AL"/>
        </w:rPr>
      </w:pPr>
    </w:p>
    <w:p w14:paraId="50223469" w14:textId="77777777" w:rsidR="00D160BA" w:rsidRDefault="00D160BA">
      <w:pPr>
        <w:rPr>
          <w:rFonts w:ascii="Times New Roman" w:hAnsi="Times New Roman"/>
          <w:sz w:val="24"/>
          <w:szCs w:val="24"/>
          <w:lang w:val="sq-AL"/>
        </w:rPr>
      </w:pPr>
    </w:p>
    <w:p w14:paraId="4B416FA5" w14:textId="77777777" w:rsidR="00D160BA" w:rsidRDefault="00D160BA">
      <w:pPr>
        <w:rPr>
          <w:rFonts w:ascii="Times New Roman" w:hAnsi="Times New Roman"/>
          <w:sz w:val="24"/>
          <w:szCs w:val="24"/>
          <w:lang w:val="sq-AL"/>
        </w:rPr>
      </w:pPr>
    </w:p>
    <w:p w14:paraId="2864DC11" w14:textId="36901EC7" w:rsidR="00D160BA" w:rsidRPr="000E6C95" w:rsidRDefault="00D160BA">
      <w:pPr>
        <w:rPr>
          <w:rFonts w:ascii="Times New Roman" w:hAnsi="Times New Roman"/>
          <w:sz w:val="24"/>
          <w:szCs w:val="24"/>
          <w:lang w:val="sq-AL"/>
        </w:rPr>
      </w:pPr>
    </w:p>
    <w:sectPr w:rsidR="00D160BA" w:rsidRPr="000E6C95" w:rsidSect="000E6C95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14522" w14:textId="77777777" w:rsidR="00425B82" w:rsidRDefault="00425B82" w:rsidP="002E4815">
      <w:r>
        <w:separator/>
      </w:r>
    </w:p>
  </w:endnote>
  <w:endnote w:type="continuationSeparator" w:id="0">
    <w:p w14:paraId="00A161C6" w14:textId="77777777" w:rsidR="00425B82" w:rsidRDefault="00425B82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7062A" w14:textId="77777777" w:rsidR="00425B82" w:rsidRDefault="00425B82" w:rsidP="002E4815">
      <w:r>
        <w:separator/>
      </w:r>
    </w:p>
  </w:footnote>
  <w:footnote w:type="continuationSeparator" w:id="0">
    <w:p w14:paraId="65A48C3E" w14:textId="77777777" w:rsidR="00425B82" w:rsidRDefault="00425B82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0512"/>
    <w:multiLevelType w:val="hybridMultilevel"/>
    <w:tmpl w:val="5F1047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D442F7"/>
    <w:multiLevelType w:val="hybridMultilevel"/>
    <w:tmpl w:val="2EAE2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073AE"/>
    <w:multiLevelType w:val="hybridMultilevel"/>
    <w:tmpl w:val="85EE9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D03CA"/>
    <w:multiLevelType w:val="hybridMultilevel"/>
    <w:tmpl w:val="09C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A1DFE"/>
    <w:multiLevelType w:val="hybridMultilevel"/>
    <w:tmpl w:val="C032D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35806"/>
    <w:rsid w:val="000E1FF4"/>
    <w:rsid w:val="000E6C95"/>
    <w:rsid w:val="001243C2"/>
    <w:rsid w:val="00147663"/>
    <w:rsid w:val="00155341"/>
    <w:rsid w:val="00165E4B"/>
    <w:rsid w:val="00175D65"/>
    <w:rsid w:val="00175EA0"/>
    <w:rsid w:val="001A235D"/>
    <w:rsid w:val="001B6141"/>
    <w:rsid w:val="001E5618"/>
    <w:rsid w:val="00210CF6"/>
    <w:rsid w:val="00216E92"/>
    <w:rsid w:val="00221040"/>
    <w:rsid w:val="00221C78"/>
    <w:rsid w:val="00251B9A"/>
    <w:rsid w:val="00264A1A"/>
    <w:rsid w:val="00270375"/>
    <w:rsid w:val="00270CB2"/>
    <w:rsid w:val="002831E8"/>
    <w:rsid w:val="002A239F"/>
    <w:rsid w:val="002A5E71"/>
    <w:rsid w:val="002D5D0C"/>
    <w:rsid w:val="002E4815"/>
    <w:rsid w:val="002F7C11"/>
    <w:rsid w:val="00315A5E"/>
    <w:rsid w:val="0031728D"/>
    <w:rsid w:val="00365667"/>
    <w:rsid w:val="003A19ED"/>
    <w:rsid w:val="003C2D46"/>
    <w:rsid w:val="003F0926"/>
    <w:rsid w:val="004231F0"/>
    <w:rsid w:val="00425B82"/>
    <w:rsid w:val="00426D3F"/>
    <w:rsid w:val="00433550"/>
    <w:rsid w:val="0044718B"/>
    <w:rsid w:val="004B6311"/>
    <w:rsid w:val="004F369C"/>
    <w:rsid w:val="00510F7A"/>
    <w:rsid w:val="005413D9"/>
    <w:rsid w:val="00553ADD"/>
    <w:rsid w:val="005A7C7D"/>
    <w:rsid w:val="005B160F"/>
    <w:rsid w:val="005F29B9"/>
    <w:rsid w:val="0066695F"/>
    <w:rsid w:val="00684EBE"/>
    <w:rsid w:val="006902BD"/>
    <w:rsid w:val="006949E8"/>
    <w:rsid w:val="006F0D80"/>
    <w:rsid w:val="006F43B1"/>
    <w:rsid w:val="00746C4C"/>
    <w:rsid w:val="00756417"/>
    <w:rsid w:val="007630B7"/>
    <w:rsid w:val="00803AFB"/>
    <w:rsid w:val="00850B66"/>
    <w:rsid w:val="00892064"/>
    <w:rsid w:val="008A4516"/>
    <w:rsid w:val="008B69B8"/>
    <w:rsid w:val="008E043E"/>
    <w:rsid w:val="008F7BD8"/>
    <w:rsid w:val="00912E59"/>
    <w:rsid w:val="00967F3C"/>
    <w:rsid w:val="00984BFB"/>
    <w:rsid w:val="009867FF"/>
    <w:rsid w:val="00994E6F"/>
    <w:rsid w:val="009B00D8"/>
    <w:rsid w:val="009B2035"/>
    <w:rsid w:val="009B3F8B"/>
    <w:rsid w:val="009D6840"/>
    <w:rsid w:val="00A22CEC"/>
    <w:rsid w:val="00A70A48"/>
    <w:rsid w:val="00A75AF4"/>
    <w:rsid w:val="00A9178C"/>
    <w:rsid w:val="00AD49F8"/>
    <w:rsid w:val="00AF5AB1"/>
    <w:rsid w:val="00B224DD"/>
    <w:rsid w:val="00B26839"/>
    <w:rsid w:val="00B57711"/>
    <w:rsid w:val="00B61E76"/>
    <w:rsid w:val="00B7598B"/>
    <w:rsid w:val="00B81668"/>
    <w:rsid w:val="00B81CA0"/>
    <w:rsid w:val="00B8476D"/>
    <w:rsid w:val="00BD0400"/>
    <w:rsid w:val="00BD5A78"/>
    <w:rsid w:val="00C244F3"/>
    <w:rsid w:val="00C27F71"/>
    <w:rsid w:val="00C45848"/>
    <w:rsid w:val="00C7773E"/>
    <w:rsid w:val="00CA76FF"/>
    <w:rsid w:val="00CD0024"/>
    <w:rsid w:val="00CD3FB0"/>
    <w:rsid w:val="00CF73B2"/>
    <w:rsid w:val="00D103E7"/>
    <w:rsid w:val="00D160BA"/>
    <w:rsid w:val="00D32616"/>
    <w:rsid w:val="00D3328A"/>
    <w:rsid w:val="00D35199"/>
    <w:rsid w:val="00D37FAB"/>
    <w:rsid w:val="00D62218"/>
    <w:rsid w:val="00D678C7"/>
    <w:rsid w:val="00D72B5C"/>
    <w:rsid w:val="00D91B0E"/>
    <w:rsid w:val="00D96B07"/>
    <w:rsid w:val="00DA0F0F"/>
    <w:rsid w:val="00DB2DC8"/>
    <w:rsid w:val="00DE3933"/>
    <w:rsid w:val="00E20F11"/>
    <w:rsid w:val="00E24303"/>
    <w:rsid w:val="00E65749"/>
    <w:rsid w:val="00E81988"/>
    <w:rsid w:val="00E96B2B"/>
    <w:rsid w:val="00EF0309"/>
    <w:rsid w:val="00F077CE"/>
    <w:rsid w:val="00F34E7A"/>
    <w:rsid w:val="00F96140"/>
    <w:rsid w:val="00FA03E9"/>
    <w:rsid w:val="00FE326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ultim.publik@mod.gov.a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www.konsultimipublik.gov.al/Konsultime/Detaje/326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80350C087A75540B27E2ABAE4FFB45A" ma:contentTypeVersion="" ma:contentTypeDescription="" ma:contentTypeScope="" ma:versionID="9c6856b75525b826560da5474788c9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0x00A80350C087A75540B27E2ABAE4FFB45A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90532F-CAB4-4222-9558-83EDB27F7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EC93C-695F-4C78-A57B-E6E8DB3B5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Konsultimi Publik</vt:lpstr>
    </vt:vector>
  </TitlesOfParts>
  <Company>Microsoft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Konsultimi Publik</dc:title>
  <dc:creator>Igor Vidačak</dc:creator>
  <cp:lastModifiedBy>Sp1 Programim Hartim Harmonizim Akte Rregullatore</cp:lastModifiedBy>
  <cp:revision>71</cp:revision>
  <cp:lastPrinted>2020-11-02T08:54:00Z</cp:lastPrinted>
  <dcterms:created xsi:type="dcterms:W3CDTF">2021-06-02T06:39:00Z</dcterms:created>
  <dcterms:modified xsi:type="dcterms:W3CDTF">2021-06-28T07:39:00Z</dcterms:modified>
</cp:coreProperties>
</file>